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420" w:rsidRDefault="004B7420" w:rsidP="004B742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DD6D2" wp14:editId="62770663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420" w:rsidRDefault="004B7420" w:rsidP="004B742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4B7420" w:rsidRDefault="004B7420" w:rsidP="004B742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4B7420" w:rsidRDefault="004B7420" w:rsidP="004B742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4B7420" w:rsidRDefault="004B7420" w:rsidP="004B742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4B7420" w:rsidRDefault="004B7420" w:rsidP="004B742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4B7420" w:rsidRDefault="004B7420" w:rsidP="004B742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B3CE47A" wp14:editId="3A15CE0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4B7420" w:rsidRDefault="004B7420" w:rsidP="004B7420">
      <w:pPr>
        <w:spacing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</w:pPr>
      <w:r w:rsidRPr="004B7420"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  <w:t>З якого періоду розпочинається відлік граничного строку розрахунків при здійсненні імпортних операцій та з якої дати розпочинається та припиняється нарахування пені за порушення термінів таких розрахунків?</w:t>
      </w:r>
    </w:p>
    <w:p w:rsidR="004B7420" w:rsidRPr="004B7420" w:rsidRDefault="004B7420" w:rsidP="004B74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B74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Відлік граничного строку розрахунків за операціями з імпорту товарів банк розпочинає з дати здійснення платежу (списання коштів з рахунку клієнта), а в разі застосування розрахунків у формі документарного акредитива – здійснення банком платежу на користь нерезидента (списання коштів з рахунку банку).</w:t>
      </w:r>
    </w:p>
    <w:p w:rsidR="004B7420" w:rsidRDefault="004B7420" w:rsidP="004B74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4B74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У разі порушення законодавчо встановленого строку розрахунків за операціями з імпорту товарів нарахування пені розпочинається з першого дня після закінчення такого строку та здійснюється за кожний день прострочення, включаючи день завершення валютного нагляду відповідно до п. 9 </w:t>
      </w:r>
      <w:proofErr w:type="spellStart"/>
      <w:r w:rsidRPr="004B74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4B74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ІІІ Інструкції про порядок валютного нагляду банків за дотриманням резидентами граничних строків розрахунків за операціями з експорту та імпорту товарів.</w:t>
      </w:r>
    </w:p>
    <w:p w:rsidR="004B7420" w:rsidRPr="00F32254" w:rsidRDefault="004B7420" w:rsidP="004B742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інформацією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загальнодоступного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ресурсу.</w:t>
      </w:r>
    </w:p>
    <w:p w:rsidR="004B7420" w:rsidRDefault="004B7420" w:rsidP="004B742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11A22" w:rsidRDefault="00211A22" w:rsidP="004B742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11A22" w:rsidRDefault="00211A22" w:rsidP="004B742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11A22" w:rsidRDefault="00211A22" w:rsidP="004B742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11A22" w:rsidRDefault="00211A22" w:rsidP="004B742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11A22" w:rsidRDefault="00211A22" w:rsidP="004B742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11A22" w:rsidRDefault="00211A22" w:rsidP="004B742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11A22" w:rsidRDefault="00211A22" w:rsidP="004B742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11A22" w:rsidRDefault="00211A22" w:rsidP="004B742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11A22" w:rsidRDefault="00211A22" w:rsidP="004B742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11A22" w:rsidRPr="00211A22" w:rsidRDefault="00211A22" w:rsidP="004B742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4B7420" w:rsidRPr="00E208DE" w:rsidRDefault="004B7420" w:rsidP="004B7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420" w:rsidRDefault="004B7420" w:rsidP="004B74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7420" w:rsidRDefault="004B7420" w:rsidP="004B74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7420" w:rsidRDefault="004B7420" w:rsidP="004B74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7420" w:rsidRDefault="004B7420" w:rsidP="004B74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7420" w:rsidRDefault="004B7420" w:rsidP="004B74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7420" w:rsidRDefault="004B7420" w:rsidP="004B74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7420" w:rsidRDefault="004B7420" w:rsidP="004B74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7420" w:rsidRDefault="004B7420" w:rsidP="004B74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7420" w:rsidRPr="004B7420" w:rsidRDefault="004B7420" w:rsidP="004B74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7420" w:rsidRPr="00211A22" w:rsidRDefault="004B7420" w:rsidP="004B74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211A22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211A22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211A22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211A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211A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211A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211A2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4B7420" w:rsidRPr="004B7420" w:rsidRDefault="004B7420" w:rsidP="004B74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4B7420" w:rsidRPr="004B7420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420"/>
    <w:rsid w:val="00211A22"/>
    <w:rsid w:val="004A64BE"/>
    <w:rsid w:val="004B7420"/>
    <w:rsid w:val="0075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42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4B7420"/>
  </w:style>
  <w:style w:type="character" w:styleId="a5">
    <w:name w:val="Hyperlink"/>
    <w:uiPriority w:val="99"/>
    <w:rsid w:val="004B74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42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4B7420"/>
  </w:style>
  <w:style w:type="character" w:styleId="a5">
    <w:name w:val="Hyperlink"/>
    <w:uiPriority w:val="99"/>
    <w:rsid w:val="004B74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2022-10-12T07:59:00Z</dcterms:created>
  <dcterms:modified xsi:type="dcterms:W3CDTF">2022-10-20T05:33:00Z</dcterms:modified>
</cp:coreProperties>
</file>